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47A9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Alpert, E., Hayes, A. M., Barnes, J. B., &amp; Sloan, D. M. (2020). Predictors of Dropout in Cognitive Processing Therapy for PTSD: An Examination of Trauma Narrative Content. </w:t>
      </w:r>
      <w:r w:rsidRPr="0061419B">
        <w:rPr>
          <w:i/>
          <w:iCs/>
        </w:rPr>
        <w:t>Behavior Therapy</w:t>
      </w:r>
      <w:r w:rsidRPr="0061419B">
        <w:t>, </w:t>
      </w:r>
      <w:r w:rsidRPr="0061419B">
        <w:rPr>
          <w:i/>
          <w:iCs/>
        </w:rPr>
        <w:t>51</w:t>
      </w:r>
      <w:r w:rsidRPr="0061419B">
        <w:t xml:space="preserve">(5), 774-788. </w:t>
      </w:r>
    </w:p>
    <w:p w14:paraId="58B0F4EF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Bellosta-Batalla, M., Blanco-Gandía, M. C., Rodríguez-Arias, M., Cebolla, A., Pérez-Blasco, J., &amp; Moya-Albiol, L. (2020). Increased salivary oxytocin and empathy in students of clinical and health psychology after a mindfulness and compassion-based intervention. </w:t>
      </w:r>
      <w:r w:rsidRPr="0061419B">
        <w:rPr>
          <w:i/>
          <w:iCs/>
        </w:rPr>
        <w:t>Mindfulness,</w:t>
      </w:r>
      <w:r w:rsidRPr="0061419B">
        <w:t xml:space="preserve"> 1-12. </w:t>
      </w:r>
    </w:p>
    <w:p w14:paraId="17B16D29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Cacioppo, J. T., Fowler, J. H., &amp; Christakis, N. A. (2009). Alone in the crowd: the structure and spread of loneliness in a large social network. </w:t>
      </w:r>
      <w:r w:rsidRPr="0061419B">
        <w:rPr>
          <w:i/>
          <w:iCs/>
        </w:rPr>
        <w:t>Journal of Personality and Social Psychology, 97</w:t>
      </w:r>
      <w:r w:rsidRPr="0061419B">
        <w:t>(6), 977.</w:t>
      </w:r>
    </w:p>
    <w:p w14:paraId="0CB58CCC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Coan, J. A., Schaefer, H. S., &amp; Davidson, R. J. (2006). Lending a hand: Social regulation of the neural response to threat. </w:t>
      </w:r>
      <w:r w:rsidRPr="0061419B">
        <w:rPr>
          <w:i/>
          <w:iCs/>
        </w:rPr>
        <w:t>Psychological Science</w:t>
      </w:r>
      <w:r w:rsidRPr="0061419B">
        <w:t xml:space="preserve">, </w:t>
      </w:r>
      <w:r w:rsidRPr="0061419B">
        <w:rPr>
          <w:i/>
          <w:iCs/>
        </w:rPr>
        <w:t>17</w:t>
      </w:r>
      <w:r w:rsidRPr="0061419B">
        <w:t xml:space="preserve">(12), 1032–1039. </w:t>
      </w:r>
    </w:p>
    <w:p w14:paraId="2BE72BDA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Coghlan, A. (2013). Healthy living can turn our cells' clock back. </w:t>
      </w:r>
      <w:r w:rsidRPr="0061419B">
        <w:rPr>
          <w:i/>
          <w:iCs/>
        </w:rPr>
        <w:t>Health, 2935</w:t>
      </w:r>
    </w:p>
    <w:p w14:paraId="5E8A1772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Crespi, B. J. (2016). Oxytocin, testosterone, and human social cognition. </w:t>
      </w:r>
      <w:r w:rsidRPr="0061419B">
        <w:rPr>
          <w:i/>
          <w:iCs/>
        </w:rPr>
        <w:t>Biological Reviews</w:t>
      </w:r>
      <w:r w:rsidRPr="0061419B">
        <w:t>, </w:t>
      </w:r>
      <w:r w:rsidRPr="0061419B">
        <w:rPr>
          <w:i/>
          <w:iCs/>
        </w:rPr>
        <w:t>91</w:t>
      </w:r>
      <w:r w:rsidRPr="0061419B">
        <w:t>(2), 390-408.</w:t>
      </w:r>
    </w:p>
    <w:p w14:paraId="72B254AA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Cuddy, A. J., Wilmuth, C. A., &amp; Carney, D. R. (2012). The benefit of power posing before a high-stakes social evaluation. Harvard Business School Working Paper, No. 13-027, </w:t>
      </w:r>
      <w:hyperlink r:id="rId5" w:history="1">
        <w:r w:rsidRPr="0061419B">
          <w:rPr>
            <w:rStyle w:val="Hyperlink"/>
          </w:rPr>
          <w:t>http://nrs.harvard.edu/urn-3:HUL.InstRepos:9547823</w:t>
        </w:r>
      </w:hyperlink>
      <w:r w:rsidRPr="0061419B">
        <w:t xml:space="preserve"> </w:t>
      </w:r>
    </w:p>
    <w:p w14:paraId="3E66FF4F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Derrick, J. E., Gabriel, S., &amp; Hugenberg, K. (2009). Social surrogacy: How favored television programs provide the experience of belonging. Journal of Experimental Social Psychology 45, 352–362</w:t>
      </w:r>
    </w:p>
    <w:p w14:paraId="105D55CA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Epel, E. S., &amp; Lithgow, G. J. (2014). Stress biology and aging mechanisms: toward understanding the deep connection between adaptation to stress and longevity. </w:t>
      </w:r>
      <w:r w:rsidRPr="0061419B">
        <w:rPr>
          <w:i/>
          <w:iCs/>
        </w:rPr>
        <w:t>Journals of Gerontology Series A: Biomedical Sciences and Medical Sciences</w:t>
      </w:r>
      <w:r w:rsidRPr="0061419B">
        <w:t>, </w:t>
      </w:r>
      <w:r w:rsidRPr="0061419B">
        <w:rPr>
          <w:i/>
          <w:iCs/>
        </w:rPr>
        <w:t>69</w:t>
      </w:r>
      <w:r w:rsidRPr="0061419B">
        <w:t>(Suppl_1), S10-S16.</w:t>
      </w:r>
    </w:p>
    <w:p w14:paraId="67B0E2EC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Friedmann, E., Thomas, S. A., Liu, F., Morton, P. G., Chapa, D., Gottlieb, S. S., &amp; Sudden Cardiac Death in Heart Failure Trial (SCD-HeFT) Investigators. (2006). Relationship of depression, anxiety, and social isolation to chronic heart failure outpatient mortality. </w:t>
      </w:r>
      <w:r w:rsidRPr="0061419B">
        <w:rPr>
          <w:i/>
          <w:iCs/>
        </w:rPr>
        <w:t>American Heart Journal, 152(</w:t>
      </w:r>
      <w:r w:rsidRPr="0061419B">
        <w:t>5), 940-e1.</w:t>
      </w:r>
    </w:p>
    <w:p w14:paraId="07FE6EF3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Gabriel, S., Read, J. P., Young, A. F., Bachrach, R. L., &amp; Troisi, J. D. (2017). Social surrogate use in those exposed to trauma: I get by with a little help from my (fictional) friends. </w:t>
      </w:r>
      <w:r w:rsidRPr="0061419B">
        <w:rPr>
          <w:i/>
          <w:iCs/>
        </w:rPr>
        <w:t>Journal of social and clinical psychology</w:t>
      </w:r>
      <w:r w:rsidRPr="0061419B">
        <w:t>, </w:t>
      </w:r>
      <w:r w:rsidRPr="0061419B">
        <w:rPr>
          <w:i/>
          <w:iCs/>
        </w:rPr>
        <w:t>36</w:t>
      </w:r>
      <w:r w:rsidRPr="0061419B">
        <w:t>(1), 41-63.</w:t>
      </w:r>
    </w:p>
    <w:p w14:paraId="46F31361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Hoffman, Y. S., Pitcho-Prelorentzos, S., Ring, L., &amp; Ben-Ezra, M. (2019). “Spidey Can”: Preliminary Evidence Showing Arachnophobia Symptom Reduction Due to Superhero Movie Exposure. </w:t>
      </w:r>
      <w:r w:rsidRPr="0061419B">
        <w:rPr>
          <w:i/>
          <w:iCs/>
        </w:rPr>
        <w:t>Frontiers in psychiatry</w:t>
      </w:r>
      <w:r w:rsidRPr="0061419B">
        <w:t>, </w:t>
      </w:r>
      <w:r w:rsidRPr="0061419B">
        <w:rPr>
          <w:i/>
          <w:iCs/>
        </w:rPr>
        <w:t>10</w:t>
      </w:r>
      <w:r w:rsidRPr="0061419B">
        <w:t>.</w:t>
      </w:r>
    </w:p>
    <w:p w14:paraId="763B456E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Hsu, C. T., Conrad, M., &amp; Jacobs, A. M. (2014). Fiction feelings in Harry Potter: Haemodynamic response in the mid-cingulate cortex correlates with immersive reading experience. </w:t>
      </w:r>
      <w:r w:rsidRPr="0061419B">
        <w:rPr>
          <w:i/>
          <w:iCs/>
        </w:rPr>
        <w:t>Neuroreport</w:t>
      </w:r>
      <w:r w:rsidRPr="0061419B">
        <w:t xml:space="preserve">, </w:t>
      </w:r>
      <w:r w:rsidRPr="0061419B">
        <w:rPr>
          <w:i/>
          <w:iCs/>
        </w:rPr>
        <w:t>25</w:t>
      </w:r>
      <w:r w:rsidRPr="0061419B">
        <w:t>(17), 1356-1361.</w:t>
      </w:r>
    </w:p>
    <w:p w14:paraId="5AE37AF4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lastRenderedPageBreak/>
        <w:t>Lee, J. H., Jung, H. K., Lee, G. G., Kim, H. Y., Park, S. G., &amp; Woo, S. C. (2013). Effect of behavioral intervention using smartphone application for preoperative anxiety in pediatric patients. </w:t>
      </w:r>
      <w:r w:rsidRPr="0061419B">
        <w:rPr>
          <w:i/>
          <w:iCs/>
        </w:rPr>
        <w:t>Korean journal of anesthesiology</w:t>
      </w:r>
      <w:r w:rsidRPr="0061419B">
        <w:t>, </w:t>
      </w:r>
      <w:r w:rsidRPr="0061419B">
        <w:rPr>
          <w:i/>
          <w:iCs/>
        </w:rPr>
        <w:t>65</w:t>
      </w:r>
      <w:r w:rsidRPr="0061419B">
        <w:t>(6), 508.</w:t>
      </w:r>
    </w:p>
    <w:p w14:paraId="5C47109D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McPherson, J. (2012). Does narrative exposure therapy reduce PTSD in survivors of mass violence?. </w:t>
      </w:r>
      <w:r w:rsidRPr="0061419B">
        <w:rPr>
          <w:i/>
          <w:iCs/>
        </w:rPr>
        <w:t>Research on Social Work Practice</w:t>
      </w:r>
      <w:r w:rsidRPr="0061419B">
        <w:t>, </w:t>
      </w:r>
      <w:r w:rsidRPr="0061419B">
        <w:rPr>
          <w:i/>
          <w:iCs/>
        </w:rPr>
        <w:t>22</w:t>
      </w:r>
      <w:r w:rsidRPr="0061419B">
        <w:t>(1), 29-42.</w:t>
      </w:r>
    </w:p>
    <w:p w14:paraId="2D55494D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Neuner, F., Schauer, M., Klaschik, C., Karunakara, U., &amp; Elbert, T. (2004). A comparison of narrative exposure therapy, supportive counseling, and psychoeducation for treating posttraumatic stress disorder in an African refugee settlement. </w:t>
      </w:r>
      <w:r w:rsidRPr="0061419B">
        <w:rPr>
          <w:i/>
          <w:iCs/>
        </w:rPr>
        <w:t>Journal of consulting and clinical psychology</w:t>
      </w:r>
      <w:r w:rsidRPr="0061419B">
        <w:t>, </w:t>
      </w:r>
      <w:r w:rsidRPr="0061419B">
        <w:rPr>
          <w:i/>
          <w:iCs/>
        </w:rPr>
        <w:t>72</w:t>
      </w:r>
      <w:r w:rsidRPr="0061419B">
        <w:t>(4), 579.</w:t>
      </w:r>
    </w:p>
    <w:p w14:paraId="3BE9E8E3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rPr>
          <w:lang w:val="en-GB"/>
        </w:rPr>
        <w:t xml:space="preserve">Park, C. L., &amp; Ai, A. L. (2006). Meaning making and growth: New directions for research on survivors of trauma. </w:t>
      </w:r>
      <w:r w:rsidRPr="0061419B">
        <w:rPr>
          <w:i/>
          <w:iCs/>
          <w:lang w:val="en-GB"/>
        </w:rPr>
        <w:t>Journal of Loss and Trauma, 11(5),</w:t>
      </w:r>
      <w:r w:rsidRPr="0061419B">
        <w:rPr>
          <w:lang w:val="en-GB"/>
        </w:rPr>
        <w:t xml:space="preserve"> 389-407.</w:t>
      </w:r>
    </w:p>
    <w:p w14:paraId="1798251C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Peña, J., &amp; Chen, M. (2017). With great power comes great responsibility: Superhero primes and expansive poses influence prosocial behavior after a motion-controlled game task. </w:t>
      </w:r>
      <w:r w:rsidRPr="0061419B">
        <w:rPr>
          <w:i/>
          <w:iCs/>
        </w:rPr>
        <w:t>Computers in Human Behavior</w:t>
      </w:r>
      <w:r w:rsidRPr="0061419B">
        <w:t>, </w:t>
      </w:r>
      <w:r w:rsidRPr="0061419B">
        <w:rPr>
          <w:i/>
          <w:iCs/>
        </w:rPr>
        <w:t>76</w:t>
      </w:r>
      <w:r w:rsidRPr="0061419B">
        <w:t>, 378-385.</w:t>
      </w:r>
    </w:p>
    <w:p w14:paraId="42D45214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Rosenberg, R.S., Baughman, S.L., Bailenson, J.N., (2013). Virtual superheroes: Using superpowers in virtual reality to encourage prosocial behavior. PLoS ONE 8 (1), e55003.</w:t>
      </w:r>
    </w:p>
    <w:p w14:paraId="665D97DD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Stewart, S., Hansen, T. S., &amp; Carey, T. A. (2010). Opportunities for people with disabilities in the virtual world of Second Life. </w:t>
      </w:r>
      <w:r w:rsidRPr="0061419B">
        <w:rPr>
          <w:i/>
          <w:iCs/>
        </w:rPr>
        <w:t>Rehabilitation Nursing</w:t>
      </w:r>
      <w:r w:rsidRPr="0061419B">
        <w:t>, </w:t>
      </w:r>
      <w:r w:rsidRPr="0061419B">
        <w:rPr>
          <w:i/>
          <w:iCs/>
        </w:rPr>
        <w:t>35</w:t>
      </w:r>
      <w:r w:rsidRPr="0061419B">
        <w:t>(6), 254-259.</w:t>
      </w:r>
    </w:p>
    <w:p w14:paraId="71A78079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>Thompson, B. L., &amp; Waltz, J. (2008). Self‐compassion and PTSD symptom severity. </w:t>
      </w:r>
      <w:r w:rsidRPr="0061419B">
        <w:rPr>
          <w:i/>
          <w:iCs/>
        </w:rPr>
        <w:t>Journal of Traumatic Stress: Official Publication of The International Society for Traumatic Stress Studies</w:t>
      </w:r>
      <w:r w:rsidRPr="0061419B">
        <w:t>, </w:t>
      </w:r>
      <w:r w:rsidRPr="0061419B">
        <w:rPr>
          <w:i/>
          <w:iCs/>
        </w:rPr>
        <w:t>21</w:t>
      </w:r>
      <w:r w:rsidRPr="0061419B">
        <w:t>(6), 556-558.</w:t>
      </w:r>
    </w:p>
    <w:p w14:paraId="41F884B6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Vezzali, L., Stathi, S., Giovannini, D., Capozza, D., &amp; Trifiletti, E. (2015). The greatest magic of Harry Potter: Reducing prejudice. </w:t>
      </w:r>
      <w:r w:rsidRPr="0061419B">
        <w:rPr>
          <w:i/>
          <w:iCs/>
        </w:rPr>
        <w:t>Journal of Applied Social Psychology</w:t>
      </w:r>
      <w:r w:rsidRPr="0061419B">
        <w:t xml:space="preserve">, </w:t>
      </w:r>
      <w:r w:rsidRPr="0061419B">
        <w:rPr>
          <w:i/>
          <w:iCs/>
        </w:rPr>
        <w:t>45</w:t>
      </w:r>
      <w:r w:rsidRPr="0061419B">
        <w:t>(2), 105-121.</w:t>
      </w:r>
    </w:p>
    <w:p w14:paraId="7608238A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Wansink, B., Shimizu, M., &amp; Camps, G. (2012). What would Batman eat?: Priming children to make healthier fast food choices. </w:t>
      </w:r>
      <w:r w:rsidRPr="0061419B">
        <w:rPr>
          <w:i/>
          <w:iCs/>
        </w:rPr>
        <w:t>Pediatric Obesity</w:t>
      </w:r>
      <w:r w:rsidRPr="0061419B">
        <w:t xml:space="preserve">, </w:t>
      </w:r>
      <w:r w:rsidRPr="0061419B">
        <w:rPr>
          <w:i/>
          <w:iCs/>
        </w:rPr>
        <w:t>7</w:t>
      </w:r>
      <w:r w:rsidRPr="0061419B">
        <w:t>(2), 121-123.</w:t>
      </w:r>
    </w:p>
    <w:p w14:paraId="314854C7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White, R. E., &amp; Carlson, S. M. (2015). What would Batman do? Self‐distancing improves executive function in young children. </w:t>
      </w:r>
      <w:r w:rsidRPr="0061419B">
        <w:rPr>
          <w:i/>
          <w:iCs/>
        </w:rPr>
        <w:t>Developmental Science</w:t>
      </w:r>
      <w:r w:rsidRPr="0061419B">
        <w:t xml:space="preserve">, </w:t>
      </w:r>
      <w:r w:rsidRPr="0061419B">
        <w:rPr>
          <w:i/>
          <w:iCs/>
        </w:rPr>
        <w:t>19</w:t>
      </w:r>
      <w:r w:rsidRPr="0061419B">
        <w:t xml:space="preserve"> (3), 419-426.</w:t>
      </w:r>
    </w:p>
    <w:p w14:paraId="3EE922A5" w14:textId="77777777" w:rsidR="0061419B" w:rsidRPr="0061419B" w:rsidRDefault="0061419B" w:rsidP="0061419B">
      <w:pPr>
        <w:numPr>
          <w:ilvl w:val="0"/>
          <w:numId w:val="3"/>
        </w:numPr>
      </w:pPr>
      <w:r w:rsidRPr="0061419B">
        <w:t xml:space="preserve"> Xu, J., &amp; Roberts, R. E. (2010). The power of positive emotions: It’s a matter of life or death - Subjective well-being and longevity over 28 years in a general population. </w:t>
      </w:r>
      <w:r w:rsidRPr="0061419B">
        <w:rPr>
          <w:i/>
          <w:iCs/>
        </w:rPr>
        <w:t>Health Psychology</w:t>
      </w:r>
      <w:r w:rsidRPr="0061419B">
        <w:t xml:space="preserve">, </w:t>
      </w:r>
      <w:r w:rsidRPr="0061419B">
        <w:rPr>
          <w:i/>
          <w:iCs/>
        </w:rPr>
        <w:t>29</w:t>
      </w:r>
      <w:r w:rsidRPr="0061419B">
        <w:t>(1), 9-19.</w:t>
      </w:r>
    </w:p>
    <w:p w14:paraId="3C0FFD0C" w14:textId="77777777" w:rsidR="008E114F" w:rsidRPr="0061419B" w:rsidRDefault="008E114F" w:rsidP="0061419B"/>
    <w:sectPr w:rsidR="008E114F" w:rsidRPr="0061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D11"/>
    <w:multiLevelType w:val="hybridMultilevel"/>
    <w:tmpl w:val="7906634C"/>
    <w:lvl w:ilvl="0" w:tplc="F190B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3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0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2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E6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42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3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AB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857991"/>
    <w:multiLevelType w:val="hybridMultilevel"/>
    <w:tmpl w:val="FEE2BA54"/>
    <w:lvl w:ilvl="0" w:tplc="DCBA5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F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EA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CF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8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63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C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AB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89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BA59F9"/>
    <w:multiLevelType w:val="hybridMultilevel"/>
    <w:tmpl w:val="DADA5A2C"/>
    <w:lvl w:ilvl="0" w:tplc="B3BCC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26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CA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24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4B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AB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E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AE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02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402CFB"/>
    <w:multiLevelType w:val="hybridMultilevel"/>
    <w:tmpl w:val="837E14E0"/>
    <w:lvl w:ilvl="0" w:tplc="13307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B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41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8D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CE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A0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A5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E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E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8C"/>
    <w:rsid w:val="0061419B"/>
    <w:rsid w:val="008E114F"/>
    <w:rsid w:val="00B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92A4"/>
  <w15:chartTrackingRefBased/>
  <w15:docId w15:val="{E624E569-8B67-4335-9073-38E2E9ED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06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0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9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2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58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5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6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8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3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1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0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4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5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7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8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55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1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2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4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0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6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6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3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0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0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2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6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7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6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18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6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0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3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1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14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2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3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07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2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3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90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6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rs.harvard.edu/urn-3:HUL.InstRepos:9547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Venkatraman</dc:creator>
  <cp:keywords/>
  <dc:description/>
  <cp:lastModifiedBy>Sonia Venkatraman</cp:lastModifiedBy>
  <cp:revision>2</cp:revision>
  <dcterms:created xsi:type="dcterms:W3CDTF">2021-10-14T03:42:00Z</dcterms:created>
  <dcterms:modified xsi:type="dcterms:W3CDTF">2021-10-14T04:02:00Z</dcterms:modified>
</cp:coreProperties>
</file>